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9C" w:rsidRDefault="00C96379">
      <w:r>
        <w:rPr>
          <w:rFonts w:ascii="Arial" w:hAnsi="Arial"/>
          <w:b/>
          <w:color w:val="000080"/>
          <w:sz w:val="26"/>
        </w:rPr>
        <w:t>Policy Code: 5020 RECRUITMENT AND SELECTION</w:t>
      </w:r>
    </w:p>
    <w:p w:rsidR="0070519C" w:rsidRDefault="00C96379">
      <w:pPr>
        <w:spacing w:before="119" w:after="119"/>
      </w:pPr>
      <w:r>
        <w:rPr>
          <w:rFonts w:ascii="Arial" w:hAnsi="Arial"/>
          <w:sz w:val="24"/>
        </w:rPr>
        <w:t>It shall be the policy of the Edenton-Chowan Board of Education that a continuous system of recruitment and selection of personnel be maintained in order to assure competent candidates for vacancies as needed. The Edenton-Chowan Board of Education believes</w:t>
      </w:r>
      <w:r>
        <w:rPr>
          <w:rFonts w:ascii="Arial" w:hAnsi="Arial"/>
          <w:sz w:val="24"/>
        </w:rPr>
        <w:t xml:space="preserve"> in the value of providing students with an opportunity to learn from staff members of diverse backgrounds. Therefore, the Board is committed to recruiting applicants who reflect the racial, sexual and cultural diversity of the Chowan County community and </w:t>
      </w:r>
      <w:r>
        <w:rPr>
          <w:rFonts w:ascii="Arial" w:hAnsi="Arial"/>
          <w:sz w:val="24"/>
        </w:rPr>
        <w:t>the students who attend the Edenton-Chowan Schools.</w:t>
      </w:r>
    </w:p>
    <w:p w:rsidR="0070519C" w:rsidRDefault="00C96379">
      <w:pPr>
        <w:spacing w:before="119" w:after="119"/>
      </w:pPr>
      <w:r>
        <w:rPr>
          <w:rFonts w:ascii="Arial" w:hAnsi="Arial"/>
          <w:sz w:val="24"/>
        </w:rPr>
        <w:t>All employment decisions will be consistent with the board's objective of providing students with the opportunity to receive a sound basic education, as required by state law.</w:t>
      </w:r>
    </w:p>
    <w:p w:rsidR="0070519C" w:rsidRDefault="00C96379">
      <w:pPr>
        <w:spacing w:before="119" w:after="119"/>
      </w:pPr>
      <w:r>
        <w:rPr>
          <w:rFonts w:ascii="Arial" w:hAnsi="Arial"/>
          <w:sz w:val="24"/>
        </w:rPr>
        <w:t>The Board will employ the be</w:t>
      </w:r>
      <w:r>
        <w:rPr>
          <w:rFonts w:ascii="Arial" w:hAnsi="Arial"/>
          <w:sz w:val="24"/>
        </w:rPr>
        <w:t>st candidate for the job.</w:t>
      </w:r>
    </w:p>
    <w:p w:rsidR="0070519C" w:rsidRDefault="00C96379">
      <w:pPr>
        <w:spacing w:before="119" w:after="119"/>
        <w:ind w:left="288"/>
      </w:pPr>
      <w:r>
        <w:rPr>
          <w:rFonts w:ascii="Arial" w:hAnsi="Arial"/>
          <w:sz w:val="24"/>
        </w:rPr>
        <w:t>1. Qualifications</w:t>
      </w:r>
    </w:p>
    <w:p w:rsidR="0070519C" w:rsidRDefault="00C96379">
      <w:pPr>
        <w:spacing w:before="119" w:after="119"/>
        <w:ind w:left="288"/>
      </w:pPr>
      <w:r>
        <w:rPr>
          <w:rFonts w:ascii="Arial" w:hAnsi="Arial"/>
          <w:sz w:val="24"/>
        </w:rPr>
        <w:t>The Superintendent will recommend and the Board will hire candidates for employment based on the following:</w:t>
      </w:r>
    </w:p>
    <w:p w:rsidR="0070519C" w:rsidRDefault="00C96379">
      <w:pPr>
        <w:spacing w:before="119" w:after="119"/>
        <w:ind w:left="576"/>
      </w:pPr>
      <w:r>
        <w:rPr>
          <w:rFonts w:ascii="Arial" w:hAnsi="Arial"/>
          <w:sz w:val="24"/>
        </w:rPr>
        <w:t>a. Application;</w:t>
      </w:r>
    </w:p>
    <w:p w:rsidR="0070519C" w:rsidRDefault="00C96379">
      <w:pPr>
        <w:spacing w:before="119" w:after="119"/>
        <w:ind w:left="576"/>
      </w:pPr>
      <w:r>
        <w:rPr>
          <w:rFonts w:ascii="Arial" w:hAnsi="Arial"/>
          <w:sz w:val="24"/>
        </w:rPr>
        <w:t>b. Qualifications;</w:t>
      </w:r>
    </w:p>
    <w:p w:rsidR="0070519C" w:rsidRDefault="00C96379">
      <w:pPr>
        <w:spacing w:before="119" w:after="119"/>
        <w:ind w:left="576"/>
      </w:pPr>
      <w:r>
        <w:rPr>
          <w:rFonts w:ascii="Arial" w:hAnsi="Arial"/>
          <w:sz w:val="24"/>
        </w:rPr>
        <w:t>c. State licensure, where applicable;</w:t>
      </w:r>
    </w:p>
    <w:p w:rsidR="0070519C" w:rsidRDefault="00C96379">
      <w:pPr>
        <w:spacing w:before="119" w:after="119"/>
        <w:ind w:left="576"/>
      </w:pPr>
      <w:r>
        <w:rPr>
          <w:rFonts w:ascii="Arial" w:hAnsi="Arial"/>
          <w:sz w:val="24"/>
        </w:rPr>
        <w:t>d. Record of experience, backgr</w:t>
      </w:r>
      <w:r>
        <w:rPr>
          <w:rFonts w:ascii="Arial" w:hAnsi="Arial"/>
          <w:sz w:val="24"/>
        </w:rPr>
        <w:t>ound information, performance, including references;</w:t>
      </w:r>
    </w:p>
    <w:p w:rsidR="0070519C" w:rsidRDefault="00C96379">
      <w:pPr>
        <w:spacing w:before="119" w:after="119"/>
        <w:ind w:left="576"/>
      </w:pPr>
      <w:r>
        <w:rPr>
          <w:rFonts w:ascii="Arial" w:hAnsi="Arial"/>
          <w:sz w:val="24"/>
        </w:rPr>
        <w:t>e. Personal interviews;</w:t>
      </w:r>
    </w:p>
    <w:p w:rsidR="0070519C" w:rsidRDefault="00C96379">
      <w:pPr>
        <w:spacing w:before="119" w:after="119"/>
        <w:ind w:left="576"/>
      </w:pPr>
      <w:r>
        <w:rPr>
          <w:rFonts w:ascii="Arial" w:hAnsi="Arial"/>
          <w:sz w:val="24"/>
        </w:rPr>
        <w:t>f. Criminal record checks; and</w:t>
      </w:r>
    </w:p>
    <w:p w:rsidR="0070519C" w:rsidRDefault="00C96379">
      <w:pPr>
        <w:spacing w:before="119" w:after="119"/>
        <w:ind w:left="576"/>
      </w:pPr>
      <w:r>
        <w:rPr>
          <w:rFonts w:ascii="Arial" w:hAnsi="Arial"/>
          <w:sz w:val="24"/>
        </w:rPr>
        <w:t>g. Any other relevant information.</w:t>
      </w:r>
    </w:p>
    <w:p w:rsidR="0070519C" w:rsidRDefault="00C96379">
      <w:pPr>
        <w:spacing w:before="119" w:after="119"/>
        <w:ind w:left="288"/>
      </w:pPr>
      <w:r>
        <w:rPr>
          <w:rFonts w:ascii="Arial" w:hAnsi="Arial"/>
          <w:sz w:val="24"/>
        </w:rPr>
        <w:t>When several applicants for the same position are equally qualified and suitable for the position, employees with</w:t>
      </w:r>
      <w:r>
        <w:rPr>
          <w:rFonts w:ascii="Arial" w:hAnsi="Arial"/>
          <w:sz w:val="24"/>
        </w:rPr>
        <w:t>in the school system will be given priority.</w:t>
      </w:r>
    </w:p>
    <w:p w:rsidR="0070519C" w:rsidRDefault="00C96379">
      <w:pPr>
        <w:spacing w:before="119" w:after="119"/>
        <w:ind w:left="288"/>
      </w:pPr>
      <w:r>
        <w:rPr>
          <w:rFonts w:ascii="Arial" w:hAnsi="Arial"/>
          <w:sz w:val="24"/>
        </w:rPr>
        <w:t>2. Employment Procedures</w:t>
      </w:r>
    </w:p>
    <w:p w:rsidR="0070519C" w:rsidRDefault="00C96379">
      <w:pPr>
        <w:spacing w:before="119" w:after="119"/>
        <w:ind w:left="576"/>
      </w:pPr>
      <w:r>
        <w:rPr>
          <w:rFonts w:ascii="Arial" w:hAnsi="Arial"/>
          <w:sz w:val="24"/>
        </w:rPr>
        <w:t>a. All applicants selected for employment must be recommended by the superintendent and approved by the board. In situations in which the employee must be hired between board meetings, t</w:t>
      </w:r>
      <w:r>
        <w:rPr>
          <w:rFonts w:ascii="Arial" w:hAnsi="Arial"/>
          <w:sz w:val="24"/>
        </w:rPr>
        <w:t>he superintendent is authorized to approve hiring such personnel, contingent upon approval by the board at its next scheduled board meeting.</w:t>
      </w:r>
    </w:p>
    <w:p w:rsidR="0070519C" w:rsidRDefault="00C96379">
      <w:pPr>
        <w:spacing w:before="119" w:after="119"/>
        <w:ind w:left="576"/>
      </w:pPr>
      <w:r>
        <w:rPr>
          <w:rFonts w:ascii="Arial" w:hAnsi="Arial"/>
          <w:sz w:val="24"/>
        </w:rPr>
        <w:t>b. State guidelines must be followed in selection and employment procedures. The superintendent shall develop any o</w:t>
      </w:r>
      <w:r>
        <w:rPr>
          <w:rFonts w:ascii="Arial" w:hAnsi="Arial"/>
          <w:sz w:val="24"/>
        </w:rPr>
        <w:t>ther procedures necessary to implement this policy.</w:t>
      </w:r>
    </w:p>
    <w:p w:rsidR="0070519C" w:rsidRDefault="00C96379">
      <w:pPr>
        <w:spacing w:before="119" w:after="119"/>
        <w:ind w:left="576"/>
      </w:pPr>
      <w:r>
        <w:rPr>
          <w:rFonts w:ascii="Arial" w:hAnsi="Arial"/>
          <w:sz w:val="24"/>
        </w:rPr>
        <w:t>c. The superintendent shall develop procedures for verifying new employees' legal status or authorization to work in the United States as required by law.</w:t>
      </w:r>
    </w:p>
    <w:p w:rsidR="0070519C" w:rsidRDefault="00C96379">
      <w:pPr>
        <w:spacing w:before="119" w:after="119"/>
      </w:pPr>
      <w:r>
        <w:rPr>
          <w:rFonts w:ascii="Arial" w:hAnsi="Arial"/>
          <w:sz w:val="24"/>
        </w:rPr>
        <w:lastRenderedPageBreak/>
        <w:t>All hiring practices will comply with the Board's</w:t>
      </w:r>
      <w:r>
        <w:rPr>
          <w:rFonts w:ascii="Arial" w:hAnsi="Arial"/>
          <w:sz w:val="24"/>
        </w:rPr>
        <w:t xml:space="preserve"> Equal Employment Opportunities policy.</w:t>
      </w:r>
    </w:p>
    <w:p w:rsidR="0070519C" w:rsidRPr="00C96379" w:rsidRDefault="00C96379">
      <w:pPr>
        <w:spacing w:before="119" w:after="119"/>
        <w:rPr>
          <w:rFonts w:ascii="Arial" w:hAnsi="Arial" w:cs="Arial"/>
          <w:sz w:val="24"/>
          <w:szCs w:val="24"/>
          <w:u w:val="double"/>
        </w:rPr>
      </w:pPr>
      <w:r>
        <w:rPr>
          <w:rFonts w:ascii="Arial" w:hAnsi="Arial"/>
          <w:sz w:val="24"/>
        </w:rPr>
        <w:t xml:space="preserve">LEGAL REF: </w:t>
      </w:r>
      <w:hyperlink r:id="rId4" w:history="1">
        <w:r>
          <w:rPr>
            <w:rStyle w:val="Hyperlink"/>
            <w:rFonts w:ascii="Arial" w:hAnsi="Arial"/>
            <w:sz w:val="24"/>
          </w:rPr>
          <w:t>20 U.S.C. § 7081</w:t>
        </w:r>
      </w:hyperlink>
      <w:r>
        <w:rPr>
          <w:rFonts w:ascii="Arial" w:hAnsi="Arial"/>
          <w:sz w:val="24"/>
        </w:rPr>
        <w:t xml:space="preserve">; Age Discrimination in Employment Act of 1967, </w:t>
      </w:r>
      <w:hyperlink r:id="rId5" w:history="1">
        <w:r>
          <w:rPr>
            <w:rStyle w:val="Hyperlink"/>
            <w:rFonts w:ascii="Arial" w:hAnsi="Arial"/>
            <w:sz w:val="24"/>
          </w:rPr>
          <w:t>29 U.S.C. 621</w:t>
        </w:r>
      </w:hyperlink>
      <w:r>
        <w:rPr>
          <w:rFonts w:ascii="Arial" w:hAnsi="Arial"/>
          <w:sz w:val="24"/>
        </w:rPr>
        <w:t xml:space="preserve"> </w:t>
      </w:r>
      <w:r>
        <w:rPr>
          <w:rFonts w:ascii="Arial" w:hAnsi="Arial"/>
          <w:i/>
          <w:sz w:val="24"/>
        </w:rPr>
        <w:t>et seq.</w:t>
      </w:r>
      <w:r>
        <w:rPr>
          <w:rFonts w:ascii="Arial" w:hAnsi="Arial"/>
          <w:sz w:val="24"/>
        </w:rPr>
        <w:t xml:space="preserve">; Americans with Disabilities Act of 1990, </w:t>
      </w:r>
      <w:hyperlink r:id="rId6" w:history="1">
        <w:r>
          <w:rPr>
            <w:rStyle w:val="Hyperlink"/>
            <w:rFonts w:ascii="Arial" w:hAnsi="Arial"/>
            <w:sz w:val="24"/>
          </w:rPr>
          <w:t>42 U.S.C. 12101</w:t>
        </w:r>
      </w:hyperlink>
      <w:r>
        <w:rPr>
          <w:rFonts w:ascii="Arial" w:hAnsi="Arial"/>
          <w:sz w:val="24"/>
        </w:rPr>
        <w:t xml:space="preserve"> </w:t>
      </w:r>
      <w:r>
        <w:rPr>
          <w:rFonts w:ascii="Arial" w:hAnsi="Arial"/>
          <w:i/>
          <w:sz w:val="24"/>
        </w:rPr>
        <w:t>et seq.</w:t>
      </w:r>
      <w:r>
        <w:rPr>
          <w:rFonts w:ascii="Arial" w:hAnsi="Arial"/>
          <w:sz w:val="24"/>
        </w:rPr>
        <w:t xml:space="preserve">; Equal Educational Opportunities Act of 1974, </w:t>
      </w:r>
      <w:hyperlink r:id="rId7" w:history="1">
        <w:r>
          <w:rPr>
            <w:rStyle w:val="Hyperlink"/>
            <w:rFonts w:ascii="Arial" w:hAnsi="Arial"/>
            <w:sz w:val="24"/>
          </w:rPr>
          <w:t>20 U.S.C. 1703</w:t>
        </w:r>
      </w:hyperlink>
      <w:r>
        <w:rPr>
          <w:rFonts w:ascii="Arial" w:hAnsi="Arial"/>
          <w:sz w:val="24"/>
        </w:rPr>
        <w:t xml:space="preserve">; Equal Pay Act of 1963, </w:t>
      </w:r>
      <w:hyperlink r:id="rId8" w:history="1">
        <w:r>
          <w:rPr>
            <w:rStyle w:val="Hyperlink"/>
            <w:rFonts w:ascii="Arial" w:hAnsi="Arial"/>
            <w:sz w:val="24"/>
          </w:rPr>
          <w:t>29 U.S.C. 206</w:t>
        </w:r>
      </w:hyperlink>
      <w:r>
        <w:rPr>
          <w:rFonts w:ascii="Arial" w:hAnsi="Arial"/>
          <w:sz w:val="24"/>
        </w:rPr>
        <w:t xml:space="preserve">; Fair Credit Reporting Act, </w:t>
      </w:r>
      <w:hyperlink r:id="rId9" w:history="1">
        <w:r>
          <w:rPr>
            <w:rStyle w:val="Hyperlink"/>
            <w:rFonts w:ascii="Arial" w:hAnsi="Arial"/>
            <w:sz w:val="24"/>
          </w:rPr>
          <w:t>15 U.S.C. 1681</w:t>
        </w:r>
      </w:hyperlink>
      <w:r>
        <w:rPr>
          <w:rFonts w:ascii="Arial" w:hAnsi="Arial"/>
          <w:sz w:val="24"/>
        </w:rPr>
        <w:t xml:space="preserve"> </w:t>
      </w:r>
      <w:r>
        <w:rPr>
          <w:rFonts w:ascii="Arial" w:hAnsi="Arial"/>
          <w:i/>
          <w:sz w:val="24"/>
        </w:rPr>
        <w:t>et seq.</w:t>
      </w:r>
      <w:r>
        <w:rPr>
          <w:rFonts w:ascii="Arial" w:hAnsi="Arial"/>
          <w:sz w:val="24"/>
        </w:rPr>
        <w:t xml:space="preserve">; Genetic Information Nondiscrimination Act of 2008, </w:t>
      </w:r>
      <w:hyperlink r:id="rId10" w:history="1">
        <w:r>
          <w:rPr>
            <w:rStyle w:val="Hyperlink"/>
            <w:rFonts w:ascii="Arial" w:hAnsi="Arial"/>
            <w:sz w:val="24"/>
          </w:rPr>
          <w:t xml:space="preserve">42 U.S.C. 2000ff </w:t>
        </w:r>
      </w:hyperlink>
      <w:r>
        <w:rPr>
          <w:rFonts w:ascii="Arial" w:hAnsi="Arial"/>
          <w:i/>
          <w:sz w:val="24"/>
        </w:rPr>
        <w:t>et seq.</w:t>
      </w:r>
      <w:r>
        <w:rPr>
          <w:rFonts w:ascii="Arial" w:hAnsi="Arial"/>
          <w:sz w:val="24"/>
        </w:rPr>
        <w:t>; Military Selective Service Act,</w:t>
      </w:r>
      <w:r>
        <w:rPr>
          <w:rFonts w:ascii="Arial" w:hAnsi="Arial"/>
          <w:sz w:val="24"/>
        </w:rPr>
        <w:t xml:space="preserve"> </w:t>
      </w:r>
      <w:hyperlink r:id="rId11" w:history="1">
        <w:r>
          <w:rPr>
            <w:rStyle w:val="Hyperlink"/>
            <w:rFonts w:ascii="Arial" w:hAnsi="Arial"/>
            <w:sz w:val="24"/>
          </w:rPr>
          <w:t>50 U.S.C. Appx. 453</w:t>
        </w:r>
      </w:hyperlink>
      <w:r>
        <w:rPr>
          <w:rFonts w:ascii="Arial" w:hAnsi="Arial"/>
          <w:sz w:val="24"/>
        </w:rPr>
        <w:t xml:space="preserve">; Rehabilitation Act of 1973, </w:t>
      </w:r>
      <w:hyperlink r:id="rId12" w:history="1">
        <w:r>
          <w:rPr>
            <w:rStyle w:val="Hyperlink"/>
            <w:rFonts w:ascii="Arial" w:hAnsi="Arial"/>
            <w:sz w:val="24"/>
          </w:rPr>
          <w:t>29 U.S.C. 794</w:t>
        </w:r>
      </w:hyperlink>
      <w:r>
        <w:rPr>
          <w:rFonts w:ascii="Arial" w:hAnsi="Arial"/>
          <w:sz w:val="24"/>
        </w:rPr>
        <w:t xml:space="preserve">; Title VII of the Civil Rights Acts of 1964, </w:t>
      </w:r>
      <w:hyperlink r:id="rId13" w:history="1">
        <w:r>
          <w:rPr>
            <w:rStyle w:val="Hyperlink"/>
            <w:rFonts w:ascii="Arial" w:hAnsi="Arial"/>
            <w:sz w:val="24"/>
          </w:rPr>
          <w:t>42 U.S.C. 2000e</w:t>
        </w:r>
      </w:hyperlink>
      <w:r>
        <w:rPr>
          <w:rFonts w:ascii="Arial" w:hAnsi="Arial"/>
          <w:sz w:val="24"/>
        </w:rPr>
        <w:t xml:space="preserve"> </w:t>
      </w:r>
      <w:r>
        <w:rPr>
          <w:rFonts w:ascii="Arial" w:hAnsi="Arial"/>
          <w:i/>
          <w:sz w:val="24"/>
        </w:rPr>
        <w:t>et seq.</w:t>
      </w:r>
      <w:r>
        <w:rPr>
          <w:rFonts w:ascii="Arial" w:hAnsi="Arial"/>
          <w:sz w:val="24"/>
        </w:rPr>
        <w:t xml:space="preserve">; Title IX of the Education Amendments of 1972, </w:t>
      </w:r>
      <w:hyperlink r:id="rId14" w:history="1">
        <w:r>
          <w:rPr>
            <w:rStyle w:val="Hyperlink"/>
            <w:rFonts w:ascii="Arial" w:hAnsi="Arial"/>
            <w:sz w:val="24"/>
          </w:rPr>
          <w:t>20 U.S.C. 1681</w:t>
        </w:r>
      </w:hyperlink>
      <w:r>
        <w:rPr>
          <w:rFonts w:ascii="Arial" w:hAnsi="Arial"/>
          <w:sz w:val="24"/>
        </w:rPr>
        <w:t xml:space="preserve"> </w:t>
      </w:r>
      <w:r>
        <w:rPr>
          <w:rFonts w:ascii="Arial" w:hAnsi="Arial"/>
          <w:i/>
          <w:sz w:val="24"/>
        </w:rPr>
        <w:t>et seq.</w:t>
      </w:r>
      <w:r>
        <w:rPr>
          <w:rFonts w:ascii="Arial" w:hAnsi="Arial"/>
          <w:sz w:val="24"/>
        </w:rPr>
        <w:t xml:space="preserve">; Uniformed Services Employment and Reemployment Rights Act of 1994, </w:t>
      </w:r>
      <w:hyperlink r:id="rId15" w:history="1">
        <w:r>
          <w:rPr>
            <w:rStyle w:val="Hyperlink"/>
            <w:rFonts w:ascii="Arial" w:hAnsi="Arial"/>
            <w:sz w:val="24"/>
          </w:rPr>
          <w:t>38 U.S.C. 4301</w:t>
        </w:r>
      </w:hyperlink>
      <w:r>
        <w:rPr>
          <w:rFonts w:ascii="Arial" w:hAnsi="Arial"/>
          <w:sz w:val="24"/>
        </w:rPr>
        <w:t xml:space="preserve"> </w:t>
      </w:r>
      <w:r>
        <w:rPr>
          <w:rFonts w:ascii="Arial" w:hAnsi="Arial"/>
          <w:i/>
          <w:sz w:val="24"/>
        </w:rPr>
        <w:t>et seq.</w:t>
      </w:r>
      <w:r>
        <w:rPr>
          <w:rFonts w:ascii="Arial" w:hAnsi="Arial"/>
          <w:sz w:val="24"/>
        </w:rPr>
        <w:t xml:space="preserve">; </w:t>
      </w:r>
      <w:hyperlink r:id="rId16" w:history="1">
        <w:r>
          <w:rPr>
            <w:rStyle w:val="Hyperlink"/>
            <w:rFonts w:ascii="Arial" w:hAnsi="Arial"/>
            <w:sz w:val="24"/>
          </w:rPr>
          <w:t>8 U.S.C. 1101</w:t>
        </w:r>
      </w:hyperlink>
      <w:r>
        <w:rPr>
          <w:rFonts w:ascii="Arial" w:hAnsi="Arial"/>
          <w:sz w:val="24"/>
        </w:rPr>
        <w:t xml:space="preserve"> </w:t>
      </w:r>
      <w:r>
        <w:rPr>
          <w:rFonts w:ascii="Arial" w:hAnsi="Arial"/>
          <w:i/>
          <w:sz w:val="24"/>
        </w:rPr>
        <w:t>et seq.</w:t>
      </w:r>
      <w:r>
        <w:rPr>
          <w:rFonts w:ascii="Arial" w:hAnsi="Arial"/>
          <w:sz w:val="24"/>
        </w:rPr>
        <w:t xml:space="preserve">; </w:t>
      </w:r>
      <w:r>
        <w:rPr>
          <w:rFonts w:ascii="Arial" w:hAnsi="Arial"/>
          <w:i/>
          <w:sz w:val="24"/>
        </w:rPr>
        <w:t>Green v. Missouri Pacific Railroad</w:t>
      </w:r>
      <w:r>
        <w:rPr>
          <w:rFonts w:ascii="Arial" w:hAnsi="Arial"/>
          <w:sz w:val="24"/>
        </w:rPr>
        <w:t xml:space="preserve"> (8th Cir. 1975); </w:t>
      </w:r>
      <w:r>
        <w:rPr>
          <w:rFonts w:ascii="Arial" w:hAnsi="Arial"/>
          <w:i/>
          <w:sz w:val="24"/>
        </w:rPr>
        <w:t>Enforcement Guidance on the Consideration of Arrest and Conviction Records in Employment Decisions Under Title VII of the Civil Rights Act of</w:t>
      </w:r>
      <w:r>
        <w:rPr>
          <w:rFonts w:ascii="Arial" w:hAnsi="Arial"/>
          <w:i/>
          <w:sz w:val="24"/>
        </w:rPr>
        <w:t xml:space="preserve"> 1964</w:t>
      </w:r>
      <w:r>
        <w:rPr>
          <w:rFonts w:ascii="Arial" w:hAnsi="Arial"/>
          <w:sz w:val="24"/>
        </w:rPr>
        <w:t xml:space="preserve">, U.S. Equal Employment Opportunity Commission (April 25, 2012) available at </w:t>
      </w:r>
      <w:hyperlink r:id="rId17" w:history="1">
        <w:r>
          <w:rPr>
            <w:rStyle w:val="Hyperlink"/>
            <w:rFonts w:ascii="Arial" w:hAnsi="Arial"/>
            <w:sz w:val="24"/>
          </w:rPr>
          <w:t>http://www.eeoc.gov/laws/guidance/arrest_conviction.cfm</w:t>
        </w:r>
      </w:hyperlink>
      <w:r>
        <w:rPr>
          <w:rFonts w:ascii="Arial" w:hAnsi="Arial"/>
          <w:sz w:val="24"/>
        </w:rPr>
        <w:t xml:space="preserve">; </w:t>
      </w:r>
      <w:hyperlink r:id="rId18" w:history="1">
        <w:r>
          <w:rPr>
            <w:rStyle w:val="Hyperlink"/>
            <w:rFonts w:ascii="Arial" w:hAnsi="Arial"/>
            <w:sz w:val="24"/>
          </w:rPr>
          <w:t>G.S. 14-208.18</w:t>
        </w:r>
      </w:hyperlink>
      <w:r>
        <w:rPr>
          <w:rFonts w:ascii="Arial" w:hAnsi="Arial"/>
          <w:sz w:val="24"/>
        </w:rPr>
        <w:t xml:space="preserve">; </w:t>
      </w:r>
      <w:hyperlink r:id="rId19" w:history="1">
        <w:r>
          <w:rPr>
            <w:rStyle w:val="Hyperlink"/>
            <w:rFonts w:ascii="Arial" w:hAnsi="Arial"/>
            <w:sz w:val="24"/>
          </w:rPr>
          <w:t>15A-153</w:t>
        </w:r>
      </w:hyperlink>
      <w:r>
        <w:rPr>
          <w:rFonts w:ascii="Arial" w:hAnsi="Arial"/>
          <w:sz w:val="24"/>
        </w:rPr>
        <w:t xml:space="preserve">; </w:t>
      </w:r>
      <w:hyperlink r:id="rId20" w:history="1">
        <w:r>
          <w:rPr>
            <w:rStyle w:val="Hyperlink"/>
            <w:rFonts w:ascii="Arial" w:hAnsi="Arial"/>
            <w:sz w:val="24"/>
          </w:rPr>
          <w:t>115C-12.2</w:t>
        </w:r>
      </w:hyperlink>
      <w:r>
        <w:rPr>
          <w:rFonts w:ascii="Arial" w:hAnsi="Arial"/>
          <w:sz w:val="24"/>
        </w:rPr>
        <w:t xml:space="preserve">, </w:t>
      </w:r>
      <w:hyperlink r:id="rId21" w:history="1">
        <w:r>
          <w:rPr>
            <w:rStyle w:val="Hyperlink"/>
            <w:rFonts w:ascii="Arial" w:hAnsi="Arial"/>
            <w:sz w:val="24"/>
          </w:rPr>
          <w:t>-36</w:t>
        </w:r>
      </w:hyperlink>
      <w:r>
        <w:rPr>
          <w:rFonts w:ascii="Arial" w:hAnsi="Arial"/>
          <w:sz w:val="24"/>
        </w:rPr>
        <w:t xml:space="preserve">, </w:t>
      </w:r>
      <w:hyperlink r:id="rId22" w:history="1">
        <w:r>
          <w:rPr>
            <w:rStyle w:val="Hyperlink"/>
            <w:rFonts w:ascii="Arial" w:hAnsi="Arial"/>
            <w:sz w:val="24"/>
          </w:rPr>
          <w:t>-47</w:t>
        </w:r>
      </w:hyperlink>
      <w:r>
        <w:rPr>
          <w:rFonts w:ascii="Arial" w:hAnsi="Arial"/>
          <w:sz w:val="24"/>
        </w:rPr>
        <w:t xml:space="preserve">, </w:t>
      </w:r>
      <w:hyperlink r:id="rId23" w:history="1">
        <w:r>
          <w:rPr>
            <w:rStyle w:val="Hyperlink"/>
            <w:rFonts w:ascii="Arial" w:hAnsi="Arial"/>
            <w:sz w:val="24"/>
          </w:rPr>
          <w:t>-276</w:t>
        </w:r>
      </w:hyperlink>
      <w:r>
        <w:rPr>
          <w:rFonts w:ascii="Arial" w:hAnsi="Arial"/>
          <w:sz w:val="24"/>
        </w:rPr>
        <w:t xml:space="preserve">(j); </w:t>
      </w:r>
      <w:hyperlink r:id="rId24" w:history="1">
        <w:r>
          <w:rPr>
            <w:rStyle w:val="Hyperlink"/>
            <w:rFonts w:ascii="Arial" w:hAnsi="Arial"/>
            <w:sz w:val="24"/>
          </w:rPr>
          <w:t>-332</w:t>
        </w:r>
      </w:hyperlink>
      <w:r>
        <w:rPr>
          <w:rFonts w:ascii="Arial" w:hAnsi="Arial"/>
          <w:sz w:val="24"/>
        </w:rPr>
        <w:t xml:space="preserve">; </w:t>
      </w:r>
      <w:hyperlink r:id="rId25" w:history="1">
        <w:r>
          <w:rPr>
            <w:rStyle w:val="Hyperlink"/>
            <w:rFonts w:ascii="Arial" w:hAnsi="Arial"/>
            <w:sz w:val="24"/>
          </w:rPr>
          <w:t>126-7.1</w:t>
        </w:r>
      </w:hyperlink>
      <w:r>
        <w:rPr>
          <w:rFonts w:ascii="Arial" w:hAnsi="Arial"/>
          <w:sz w:val="24"/>
        </w:rPr>
        <w:t>(</w:t>
      </w:r>
      <w:proofErr w:type="spellStart"/>
      <w:r>
        <w:rPr>
          <w:rFonts w:ascii="Arial" w:hAnsi="Arial"/>
          <w:sz w:val="24"/>
        </w:rPr>
        <w:t>i</w:t>
      </w:r>
      <w:proofErr w:type="spellEnd"/>
      <w:r>
        <w:rPr>
          <w:rFonts w:ascii="Arial" w:hAnsi="Arial"/>
          <w:sz w:val="24"/>
        </w:rPr>
        <w:t xml:space="preserve">), </w:t>
      </w:r>
      <w:hyperlink r:id="rId26" w:history="1">
        <w:r>
          <w:rPr>
            <w:rStyle w:val="Hyperlink"/>
            <w:rFonts w:ascii="Arial" w:hAnsi="Arial"/>
            <w:sz w:val="24"/>
          </w:rPr>
          <w:t>-16</w:t>
        </w:r>
      </w:hyperlink>
      <w:r>
        <w:rPr>
          <w:rFonts w:ascii="Arial" w:hAnsi="Arial"/>
          <w:sz w:val="24"/>
        </w:rPr>
        <w:t xml:space="preserve">; </w:t>
      </w:r>
      <w:hyperlink r:id="rId27" w:history="1">
        <w:r>
          <w:rPr>
            <w:rStyle w:val="Hyperlink"/>
            <w:rFonts w:ascii="Arial" w:hAnsi="Arial"/>
            <w:sz w:val="24"/>
          </w:rPr>
          <w:t>127A-202.1</w:t>
        </w:r>
      </w:hyperlink>
      <w:r>
        <w:rPr>
          <w:rFonts w:ascii="Arial" w:hAnsi="Arial"/>
          <w:sz w:val="24"/>
        </w:rPr>
        <w:t xml:space="preserve"> </w:t>
      </w:r>
      <w:r>
        <w:rPr>
          <w:rFonts w:ascii="Arial" w:hAnsi="Arial"/>
          <w:i/>
          <w:sz w:val="24"/>
        </w:rPr>
        <w:t>et seq.</w:t>
      </w:r>
      <w:r>
        <w:rPr>
          <w:rFonts w:ascii="Arial" w:hAnsi="Arial"/>
          <w:sz w:val="24"/>
        </w:rPr>
        <w:t xml:space="preserve">; </w:t>
      </w:r>
      <w:hyperlink r:id="rId28" w:history="1">
        <w:r>
          <w:rPr>
            <w:rStyle w:val="Hyperlink"/>
            <w:rFonts w:ascii="Arial" w:hAnsi="Arial"/>
            <w:sz w:val="24"/>
          </w:rPr>
          <w:t>127B-10</w:t>
        </w:r>
      </w:hyperlink>
      <w:r>
        <w:rPr>
          <w:rFonts w:ascii="Arial" w:hAnsi="Arial"/>
          <w:sz w:val="24"/>
        </w:rPr>
        <w:t xml:space="preserve">, </w:t>
      </w:r>
      <w:hyperlink r:id="rId29" w:history="1">
        <w:r>
          <w:rPr>
            <w:rStyle w:val="Hyperlink"/>
            <w:rFonts w:ascii="Arial" w:hAnsi="Arial"/>
            <w:sz w:val="24"/>
          </w:rPr>
          <w:t>-12</w:t>
        </w:r>
      </w:hyperlink>
      <w:r>
        <w:rPr>
          <w:rFonts w:ascii="Arial" w:hAnsi="Arial"/>
          <w:sz w:val="24"/>
        </w:rPr>
        <w:t xml:space="preserve">, </w:t>
      </w:r>
      <w:hyperlink r:id="rId30" w:history="1">
        <w:r>
          <w:rPr>
            <w:rStyle w:val="Hyperlink"/>
            <w:rFonts w:ascii="Arial" w:hAnsi="Arial"/>
            <w:sz w:val="24"/>
          </w:rPr>
          <w:t>-14</w:t>
        </w:r>
      </w:hyperlink>
      <w:r>
        <w:rPr>
          <w:rFonts w:ascii="Arial" w:hAnsi="Arial"/>
          <w:sz w:val="24"/>
        </w:rPr>
        <w:t xml:space="preserve">; </w:t>
      </w:r>
      <w:hyperlink r:id="rId31" w:history="1">
        <w:r>
          <w:rPr>
            <w:rStyle w:val="Hyperlink"/>
            <w:rFonts w:ascii="Arial" w:hAnsi="Arial"/>
            <w:sz w:val="24"/>
          </w:rPr>
          <w:t>143B-421.1</w:t>
        </w:r>
      </w:hyperlink>
      <w:r>
        <w:rPr>
          <w:rFonts w:ascii="Arial" w:hAnsi="Arial"/>
          <w:sz w:val="24"/>
        </w:rPr>
        <w:t xml:space="preserve">, </w:t>
      </w:r>
      <w:hyperlink r:id="rId32" w:history="1">
        <w:r>
          <w:rPr>
            <w:rStyle w:val="Hyperlink"/>
            <w:rFonts w:ascii="Arial" w:hAnsi="Arial"/>
            <w:sz w:val="24"/>
          </w:rPr>
          <w:t>-931</w:t>
        </w:r>
      </w:hyperlink>
      <w:r>
        <w:rPr>
          <w:rFonts w:ascii="Arial" w:hAnsi="Arial"/>
          <w:sz w:val="24"/>
        </w:rPr>
        <w:t xml:space="preserve">; </w:t>
      </w:r>
      <w:r>
        <w:rPr>
          <w:rFonts w:ascii="Arial" w:hAnsi="Arial"/>
          <w:i/>
          <w:sz w:val="24"/>
        </w:rPr>
        <w:t>Leandro v. State</w:t>
      </w:r>
      <w:r>
        <w:rPr>
          <w:rFonts w:ascii="Arial" w:hAnsi="Arial"/>
          <w:sz w:val="24"/>
        </w:rPr>
        <w:t xml:space="preserve">, 346 N.C. 336 (1997); </w:t>
      </w:r>
      <w:hyperlink r:id="rId33" w:history="1">
        <w:r>
          <w:rPr>
            <w:rStyle w:val="Hyperlink"/>
            <w:rFonts w:ascii="Arial" w:hAnsi="Arial"/>
            <w:sz w:val="24"/>
          </w:rPr>
          <w:t>16 N.C.A.C</w:t>
        </w:r>
        <w:r>
          <w:rPr>
            <w:rStyle w:val="Hyperlink"/>
            <w:rFonts w:ascii="Arial" w:hAnsi="Arial"/>
            <w:sz w:val="24"/>
          </w:rPr>
          <w:t>. 6C .0313</w:t>
        </w:r>
      </w:hyperlink>
      <w:r>
        <w:rPr>
          <w:rFonts w:ascii="Arial" w:hAnsi="Arial"/>
          <w:sz w:val="24"/>
        </w:rPr>
        <w:t xml:space="preserve">; State Board of Education Policies </w:t>
      </w:r>
      <w:hyperlink r:id="rId34" w:history="1">
        <w:r w:rsidRPr="00001EBA">
          <w:rPr>
            <w:rStyle w:val="Hyperlink"/>
            <w:rFonts w:ascii="Arial" w:hAnsi="Arial"/>
            <w:strike/>
            <w:sz w:val="24"/>
          </w:rPr>
          <w:t>TCP-C-017</w:t>
        </w:r>
      </w:hyperlink>
      <w:r w:rsidRPr="00001EBA">
        <w:rPr>
          <w:rFonts w:ascii="Arial" w:hAnsi="Arial"/>
          <w:strike/>
          <w:sz w:val="24"/>
        </w:rPr>
        <w:t xml:space="preserve"> and </w:t>
      </w:r>
      <w:hyperlink r:id="rId35" w:history="1">
        <w:r w:rsidRPr="00001EBA">
          <w:rPr>
            <w:rStyle w:val="Hyperlink"/>
            <w:rFonts w:ascii="Arial" w:hAnsi="Arial"/>
            <w:strike/>
            <w:sz w:val="24"/>
          </w:rPr>
          <w:t>TCP-D-009</w:t>
        </w:r>
      </w:hyperlink>
      <w:r w:rsidR="00001EBA">
        <w:rPr>
          <w:rStyle w:val="Hyperlink"/>
          <w:rFonts w:ascii="Arial" w:hAnsi="Arial"/>
          <w:sz w:val="24"/>
          <w:u w:val="none"/>
        </w:rPr>
        <w:t xml:space="preserve"> </w:t>
      </w:r>
      <w:r w:rsidRPr="00C96379">
        <w:rPr>
          <w:rStyle w:val="Hyperlink"/>
          <w:rFonts w:ascii="Arial" w:hAnsi="Arial"/>
          <w:color w:val="auto"/>
          <w:sz w:val="24"/>
          <w:u w:val="double"/>
        </w:rPr>
        <w:t>BENF-009, NCAC-6C.0313</w:t>
      </w:r>
    </w:p>
    <w:p w:rsidR="0070519C" w:rsidRDefault="00C96379">
      <w:pPr>
        <w:spacing w:before="119" w:after="119"/>
      </w:pPr>
      <w:r>
        <w:rPr>
          <w:rFonts w:ascii="Arial" w:hAnsi="Arial"/>
          <w:sz w:val="24"/>
        </w:rPr>
        <w:t>CROSS REF: School Boar</w:t>
      </w:r>
      <w:r>
        <w:rPr>
          <w:rFonts w:ascii="Arial" w:hAnsi="Arial"/>
          <w:sz w:val="24"/>
        </w:rPr>
        <w:t xml:space="preserve">d Authority and Duties (Policy </w:t>
      </w:r>
      <w:hyperlink r:id="rId36" w:history="1">
        <w:r>
          <w:rPr>
            <w:rStyle w:val="Hyperlink"/>
            <w:rFonts w:ascii="Arial" w:hAnsi="Arial"/>
            <w:sz w:val="24"/>
          </w:rPr>
          <w:t>1300</w:t>
        </w:r>
      </w:hyperlink>
      <w:r>
        <w:rPr>
          <w:rFonts w:ascii="Arial" w:hAnsi="Arial"/>
          <w:sz w:val="24"/>
        </w:rPr>
        <w:t>)</w:t>
      </w:r>
      <w:bookmarkStart w:id="0" w:name="_GoBack"/>
      <w:bookmarkEnd w:id="0"/>
    </w:p>
    <w:p w:rsidR="0070519C" w:rsidRDefault="00C96379">
      <w:pPr>
        <w:spacing w:before="119" w:after="119"/>
      </w:pPr>
      <w:r>
        <w:rPr>
          <w:rFonts w:ascii="Arial" w:hAnsi="Arial"/>
          <w:sz w:val="24"/>
        </w:rPr>
        <w:t>ADOPTED: February 7, 2005</w:t>
      </w:r>
    </w:p>
    <w:p w:rsidR="0070519C" w:rsidRDefault="00C96379">
      <w:pPr>
        <w:spacing w:before="119" w:after="300"/>
      </w:pPr>
      <w:r>
        <w:rPr>
          <w:rFonts w:ascii="Arial" w:hAnsi="Arial"/>
          <w:sz w:val="24"/>
        </w:rPr>
        <w:t>AMENDED: March 1, 2016</w:t>
      </w:r>
    </w:p>
    <w:p w:rsidR="0070519C" w:rsidRDefault="00C96379">
      <w:pPr>
        <w:spacing w:before="750"/>
        <w:jc w:val="center"/>
      </w:pPr>
      <w:r>
        <w:rPr>
          <w:rFonts w:ascii="Arial" w:hAnsi="Arial"/>
          <w:b/>
          <w:color w:val="800000"/>
          <w:sz w:val="24"/>
        </w:rPr>
        <w:t>Edenton-Chowan Schools</w:t>
      </w:r>
    </w:p>
    <w:sectPr w:rsidR="0070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9C"/>
    <w:rsid w:val="00001EBA"/>
    <w:rsid w:val="0070519C"/>
    <w:rsid w:val="00C9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9598"/>
  <w15:docId w15:val="{EBCAD304-B6C5-4CC5-9302-BAC9295D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usc&amp;loc=us&amp;id=29-206" TargetMode="External"/><Relationship Id="rId13" Type="http://schemas.openxmlformats.org/officeDocument/2006/relationships/hyperlink" Target="http://redirector.microscribepub.com/?cat=usc&amp;loc=us&amp;id=42-2000e" TargetMode="External"/><Relationship Id="rId18" Type="http://schemas.openxmlformats.org/officeDocument/2006/relationships/hyperlink" Target="http://redirector.microscribepub.com/?cat=stat&amp;loc=nc&amp;id=14&amp;spec=208.18" TargetMode="External"/><Relationship Id="rId26" Type="http://schemas.openxmlformats.org/officeDocument/2006/relationships/hyperlink" Target="http://redirector.microscribepub.com/?cat=stat&amp;loc=nc&amp;id=126&amp;spec=16"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36" TargetMode="External"/><Relationship Id="rId34" Type="http://schemas.openxmlformats.org/officeDocument/2006/relationships/hyperlink" Target="http://redirector.microscribepub.com/?cat=pol&amp;loc=nc&amp;id=eval-017&amp;" TargetMode="External"/><Relationship Id="rId7" Type="http://schemas.openxmlformats.org/officeDocument/2006/relationships/hyperlink" Target="http://redirector.microscribepub.com/?cat=usc&amp;loc=us&amp;id=20-1703" TargetMode="External"/><Relationship Id="rId12" Type="http://schemas.openxmlformats.org/officeDocument/2006/relationships/hyperlink" Target="http://redirector.microscribepub.com/?cat=usc&amp;loc=us&amp;id=29-794" TargetMode="External"/><Relationship Id="rId17" Type="http://schemas.openxmlformats.org/officeDocument/2006/relationships/hyperlink" Target="http://www.eeoc.gov/laws/guidance/arrest_conviction.cfm" TargetMode="External"/><Relationship Id="rId25" Type="http://schemas.openxmlformats.org/officeDocument/2006/relationships/hyperlink" Target="http://redirector.microscribepub.com/?cat=stat&amp;loc=nc&amp;id=126&amp;spec=7.1" TargetMode="External"/><Relationship Id="rId33" Type="http://schemas.openxmlformats.org/officeDocument/2006/relationships/hyperlink" Target="http://redirector.microscribepub.com/?cat=code&amp;loc=nc&amp;id=16&amp;spec=6c.031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director.microscribepub.com/?cat=usc&amp;loc=us&amp;id=8-1101" TargetMode="External"/><Relationship Id="rId20" Type="http://schemas.openxmlformats.org/officeDocument/2006/relationships/hyperlink" Target="http://redirector.microscribepub.com/?cat=stat&amp;loc=nc&amp;id=115c&amp;spec=12.2" TargetMode="External"/><Relationship Id="rId29" Type="http://schemas.openxmlformats.org/officeDocument/2006/relationships/hyperlink" Target="http://redirector.microscribepub.com/?cat=stat&amp;loc=nc&amp;id=127b&amp;spec=12" TargetMode="External"/><Relationship Id="rId1" Type="http://schemas.openxmlformats.org/officeDocument/2006/relationships/styles" Target="styles.xml"/><Relationship Id="rId6" Type="http://schemas.openxmlformats.org/officeDocument/2006/relationships/hyperlink" Target="http://redirector.microscribepub.com/?cat=usc&amp;loc=us&amp;id=42-12101" TargetMode="External"/><Relationship Id="rId11" Type="http://schemas.openxmlformats.org/officeDocument/2006/relationships/hyperlink" Target="http://redirector.microscribepub.com/?cat=usc&amp;loc=us&amp;id=50-453&amp;" TargetMode="External"/><Relationship Id="rId24" Type="http://schemas.openxmlformats.org/officeDocument/2006/relationships/hyperlink" Target="http://redirector.microscribepub.com/?cat=stat&amp;loc=nc&amp;id=115c&amp;spec=332" TargetMode="External"/><Relationship Id="rId32" Type="http://schemas.openxmlformats.org/officeDocument/2006/relationships/hyperlink" Target="http://redirector.microscribepub.com/?cat=stat&amp;loc=nc&amp;id=143b&amp;spec=931" TargetMode="External"/><Relationship Id="rId37" Type="http://schemas.openxmlformats.org/officeDocument/2006/relationships/fontTable" Target="fontTable.xml"/><Relationship Id="rId5" Type="http://schemas.openxmlformats.org/officeDocument/2006/relationships/hyperlink" Target="http://redirector.microscribepub.com/?cat=usc&amp;loc=us&amp;id=29-621" TargetMode="External"/><Relationship Id="rId15" Type="http://schemas.openxmlformats.org/officeDocument/2006/relationships/hyperlink" Target="http://redirector.microscribepub.com/?cat=usc&amp;loc=us&amp;id=38-4301" TargetMode="External"/><Relationship Id="rId23" Type="http://schemas.openxmlformats.org/officeDocument/2006/relationships/hyperlink" Target="http://redirector.microscribepub.com/?cat=stat&amp;loc=nc&amp;id=115c&amp;spec=276" TargetMode="External"/><Relationship Id="rId28" Type="http://schemas.openxmlformats.org/officeDocument/2006/relationships/hyperlink" Target="http://redirector.microscribepub.com/?cat=stat&amp;loc=nc&amp;id=127b&amp;spec=10" TargetMode="External"/><Relationship Id="rId36" Type="http://schemas.openxmlformats.org/officeDocument/2006/relationships/hyperlink" Target="https://boardpolicyonline.com/bl/?b=edenton_chowan&amp;s=147412" TargetMode="External"/><Relationship Id="rId10" Type="http://schemas.openxmlformats.org/officeDocument/2006/relationships/hyperlink" Target="http://redirector.microscribepub.com/?cat=usc&amp;loc=us&amp;id=42-2000ff" TargetMode="External"/><Relationship Id="rId19" Type="http://schemas.openxmlformats.org/officeDocument/2006/relationships/hyperlink" Target="http://redirector.microscribepub.com/?cat=stat&amp;loc=nc&amp;id=15a&amp;spec=153" TargetMode="External"/><Relationship Id="rId31" Type="http://schemas.openxmlformats.org/officeDocument/2006/relationships/hyperlink" Target="http://redirector.microscribepub.com/?cat=stat&amp;loc=nc&amp;id=143b&amp;spec=421.1" TargetMode="External"/><Relationship Id="rId4" Type="http://schemas.openxmlformats.org/officeDocument/2006/relationships/hyperlink" Target="http://redirector.microscribepub.com/?cat=usc&amp;loc=us&amp;id=20-7081&amp;" TargetMode="External"/><Relationship Id="rId9" Type="http://schemas.openxmlformats.org/officeDocument/2006/relationships/hyperlink" Target="http://redirector.microscribepub.com/?cat=usc&amp;loc=us&amp;id=15-1681" TargetMode="External"/><Relationship Id="rId14" Type="http://schemas.openxmlformats.org/officeDocument/2006/relationships/hyperlink" Target="http://redirector.microscribepub.com/?cat=usc&amp;loc=us&amp;id=20-1681" TargetMode="External"/><Relationship Id="rId22" Type="http://schemas.openxmlformats.org/officeDocument/2006/relationships/hyperlink" Target="http://redirector.microscribepub.com/?cat=stat&amp;loc=nc&amp;id=115c&amp;spec=47" TargetMode="External"/><Relationship Id="rId27" Type="http://schemas.openxmlformats.org/officeDocument/2006/relationships/hyperlink" Target="http://redirector.microscribepub.com/?cat=stat&amp;loc=nc&amp;id=127a&amp;spec=202.1" TargetMode="External"/><Relationship Id="rId30" Type="http://schemas.openxmlformats.org/officeDocument/2006/relationships/hyperlink" Target="http://redirector.microscribepub.com/?cat=stat&amp;loc=nc&amp;id=127b&amp;spec=14" TargetMode="External"/><Relationship Id="rId35" Type="http://schemas.openxmlformats.org/officeDocument/2006/relationships/hyperlink" Target="http://redirector.microscribepub.com/?cat=pol&amp;loc=nc&amp;id=benf-009&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3</cp:revision>
  <dcterms:created xsi:type="dcterms:W3CDTF">2017-07-09T22:28:00Z</dcterms:created>
  <dcterms:modified xsi:type="dcterms:W3CDTF">2017-07-09T22:32:00Z</dcterms:modified>
</cp:coreProperties>
</file>