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0E" w:rsidRDefault="00715E35">
      <w:bookmarkStart w:id="0" w:name="_GoBack"/>
      <w:bookmarkEnd w:id="0"/>
      <w:r>
        <w:rPr>
          <w:rFonts w:ascii="Arial" w:hAnsi="Arial"/>
          <w:b/>
          <w:color w:val="000080"/>
          <w:sz w:val="26"/>
        </w:rPr>
        <w:t>Policy Code: 6090 FACILITY DESIGN</w:t>
      </w:r>
    </w:p>
    <w:p w:rsidR="00391C0E" w:rsidRDefault="00715E35">
      <w:pPr>
        <w:spacing w:before="119" w:after="119"/>
      </w:pPr>
      <w:r>
        <w:rPr>
          <w:rFonts w:ascii="Arial" w:hAnsi="Arial"/>
          <w:sz w:val="24"/>
        </w:rPr>
        <w:t>The Board is committed to the design of new and renovated facilities in a manner that maximizes the use of space, conserves environmental resources, and produces structurally sound and safe buildings. All school buildings should be designed to create safe, orderly and inviting learning environments where students can succeed.</w:t>
      </w:r>
    </w:p>
    <w:p w:rsidR="00391C0E" w:rsidRDefault="00715E35">
      <w:pPr>
        <w:spacing w:before="119" w:after="119"/>
      </w:pPr>
      <w:r>
        <w:rPr>
          <w:rFonts w:ascii="Arial" w:hAnsi="Arial"/>
          <w:sz w:val="24"/>
          <w:u w:val="single"/>
        </w:rPr>
        <w:t>6090.1</w:t>
      </w:r>
      <w:r>
        <w:rPr>
          <w:rFonts w:ascii="Arial" w:hAnsi="Arial"/>
          <w:sz w:val="24"/>
        </w:rPr>
        <w:t xml:space="preserve"> The Superintendent or designee may employ the services of outside professionals, including architects and other consultants, for the design and construction of new buildings or renovations to existing buildings for projects approved by the Board. The design of all new buildings shall comply with all state and local laws, rules and regulations and the guidelines issued by the State Board of Education. The Superintendent or designee shall submit the required cost and feasibility information and the plans and specifications for the construction of new buildings to the State Board for its review and comments in accordance with </w:t>
      </w:r>
      <w:hyperlink r:id="rId4" w:history="1">
        <w:r>
          <w:rPr>
            <w:rStyle w:val="Hyperlink"/>
            <w:rFonts w:ascii="Arial" w:hAnsi="Arial"/>
            <w:sz w:val="24"/>
          </w:rPr>
          <w:t>G.S. 115C-521</w:t>
        </w:r>
      </w:hyperlink>
      <w:r>
        <w:rPr>
          <w:rFonts w:ascii="Arial" w:hAnsi="Arial"/>
          <w:sz w:val="24"/>
        </w:rPr>
        <w:t xml:space="preserve">(c). The Superintendent or designee, in consultation with an architect or other design professional, shall review the plans based upon a consideration of the State Boards comments. The Superintendent or designee shall consider the State Boards review of facility plans conducted pursuant to </w:t>
      </w:r>
      <w:hyperlink r:id="rId5" w:history="1">
        <w:r>
          <w:rPr>
            <w:rStyle w:val="Hyperlink"/>
            <w:rFonts w:ascii="Arial" w:hAnsi="Arial"/>
            <w:sz w:val="24"/>
          </w:rPr>
          <w:t>G.S. 115C-521</w:t>
        </w:r>
      </w:hyperlink>
      <w:r>
        <w:rPr>
          <w:rFonts w:ascii="Arial" w:hAnsi="Arial"/>
          <w:sz w:val="24"/>
        </w:rPr>
        <w:t>(c) and will specifically address any concerns noted by the State Board before the Board invests any money in the construction of any new building.</w:t>
      </w:r>
    </w:p>
    <w:p w:rsidR="00391C0E" w:rsidRDefault="00715E35">
      <w:pPr>
        <w:spacing w:before="119" w:after="119"/>
      </w:pPr>
      <w:r>
        <w:rPr>
          <w:rFonts w:ascii="Arial" w:hAnsi="Arial"/>
          <w:sz w:val="24"/>
          <w:u w:val="single"/>
        </w:rPr>
        <w:t>6090.2</w:t>
      </w:r>
      <w:r>
        <w:rPr>
          <w:rFonts w:ascii="Arial" w:hAnsi="Arial"/>
          <w:sz w:val="24"/>
        </w:rPr>
        <w:t xml:space="preserve"> All contracts for design and construction will be reviewed by the Board's attorney before consideration by the Board.</w:t>
      </w:r>
    </w:p>
    <w:p w:rsidR="00391C0E" w:rsidRDefault="00715E35">
      <w:pPr>
        <w:spacing w:before="119" w:after="119"/>
      </w:pPr>
      <w:r>
        <w:rPr>
          <w:rFonts w:ascii="Arial" w:hAnsi="Arial"/>
          <w:sz w:val="24"/>
          <w:u w:val="single"/>
        </w:rPr>
        <w:t>6090.3</w:t>
      </w:r>
      <w:r>
        <w:rPr>
          <w:rFonts w:ascii="Arial" w:hAnsi="Arial"/>
          <w:sz w:val="24"/>
        </w:rPr>
        <w:t xml:space="preserve"> The Board shall approve all designs for new facilities and major renovations.</w:t>
      </w:r>
    </w:p>
    <w:p w:rsidR="00391C0E" w:rsidRDefault="00715E35">
      <w:pPr>
        <w:spacing w:before="119" w:after="119"/>
      </w:pPr>
      <w:r>
        <w:rPr>
          <w:rFonts w:ascii="Arial" w:hAnsi="Arial"/>
          <w:sz w:val="24"/>
          <w:u w:val="single"/>
        </w:rPr>
        <w:t>6090.4</w:t>
      </w:r>
      <w:r>
        <w:rPr>
          <w:rFonts w:ascii="Arial" w:hAnsi="Arial"/>
          <w:sz w:val="24"/>
        </w:rPr>
        <w:t xml:space="preserve"> Plans for science facilities in new middle and high schools are subject to approval by the State Board of Education in accordance with </w:t>
      </w:r>
      <w:hyperlink r:id="rId6" w:history="1">
        <w:r>
          <w:rPr>
            <w:rStyle w:val="Hyperlink"/>
            <w:rFonts w:ascii="Arial" w:hAnsi="Arial"/>
            <w:sz w:val="24"/>
          </w:rPr>
          <w:t>G.S. 115C-521</w:t>
        </w:r>
      </w:hyperlink>
      <w:r>
        <w:rPr>
          <w:rFonts w:ascii="Arial" w:hAnsi="Arial"/>
          <w:sz w:val="24"/>
        </w:rPr>
        <w:t xml:space="preserve">(c1) and State Board of Education policy. The superintendent shall report periodically to the board on the development of facility plans. The superintendent also shall report on the State Board's review of facility plans conducted pursuant to </w:t>
      </w:r>
      <w:hyperlink r:id="rId7" w:history="1">
        <w:r>
          <w:rPr>
            <w:rStyle w:val="Hyperlink"/>
            <w:rFonts w:ascii="Arial" w:hAnsi="Arial"/>
            <w:sz w:val="24"/>
          </w:rPr>
          <w:t>G.S. 115C-521</w:t>
        </w:r>
      </w:hyperlink>
      <w:r>
        <w:rPr>
          <w:rFonts w:ascii="Arial" w:hAnsi="Arial"/>
          <w:sz w:val="24"/>
        </w:rPr>
        <w:t>(c) and this policy and must specifically address any concerns noted by the State Board. The board must give final approval of facility plans before any money may be spent on new buildings or renovations.</w:t>
      </w:r>
    </w:p>
    <w:p w:rsidR="00391C0E" w:rsidRDefault="00715E35">
      <w:pPr>
        <w:spacing w:before="119" w:after="119"/>
      </w:pPr>
      <w:r>
        <w:rPr>
          <w:rFonts w:ascii="Arial" w:hAnsi="Arial"/>
          <w:sz w:val="24"/>
        </w:rPr>
        <w:t xml:space="preserve">Legal References: </w:t>
      </w:r>
      <w:hyperlink r:id="rId8" w:history="1">
        <w:r>
          <w:rPr>
            <w:rStyle w:val="Hyperlink"/>
            <w:rFonts w:ascii="Arial" w:hAnsi="Arial"/>
            <w:sz w:val="24"/>
          </w:rPr>
          <w:t>29 U.S.C. 794</w:t>
        </w:r>
      </w:hyperlink>
      <w:r>
        <w:rPr>
          <w:rFonts w:ascii="Arial" w:hAnsi="Arial"/>
          <w:sz w:val="24"/>
        </w:rPr>
        <w:t xml:space="preserve">(b); </w:t>
      </w:r>
      <w:hyperlink r:id="rId9" w:history="1">
        <w:r>
          <w:rPr>
            <w:rStyle w:val="Hyperlink"/>
            <w:rFonts w:ascii="Arial" w:hAnsi="Arial"/>
            <w:sz w:val="24"/>
          </w:rPr>
          <w:t>34 C.F.R. pt. 104</w:t>
        </w:r>
      </w:hyperlink>
      <w:r>
        <w:rPr>
          <w:rFonts w:ascii="Arial" w:hAnsi="Arial"/>
          <w:sz w:val="24"/>
        </w:rPr>
        <w:t xml:space="preserve"> (</w:t>
      </w:r>
      <w:proofErr w:type="spellStart"/>
      <w:r>
        <w:rPr>
          <w:rFonts w:ascii="Arial" w:hAnsi="Arial"/>
          <w:sz w:val="24"/>
        </w:rPr>
        <w:t>subpt</w:t>
      </w:r>
      <w:proofErr w:type="spellEnd"/>
      <w:r>
        <w:rPr>
          <w:rFonts w:ascii="Arial" w:hAnsi="Arial"/>
          <w:sz w:val="24"/>
        </w:rPr>
        <w:t xml:space="preserve">. C); </w:t>
      </w:r>
      <w:hyperlink r:id="rId10"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w:t>
      </w:r>
      <w:hyperlink r:id="rId11" w:history="1">
        <w:r>
          <w:rPr>
            <w:rStyle w:val="Hyperlink"/>
            <w:rFonts w:ascii="Arial" w:hAnsi="Arial"/>
            <w:sz w:val="24"/>
          </w:rPr>
          <w:t>28 C.F.R. pt. 35</w:t>
        </w:r>
      </w:hyperlink>
      <w:r>
        <w:rPr>
          <w:rFonts w:ascii="Arial" w:hAnsi="Arial"/>
          <w:sz w:val="24"/>
        </w:rPr>
        <w:t xml:space="preserve"> (</w:t>
      </w:r>
      <w:proofErr w:type="spellStart"/>
      <w:r>
        <w:rPr>
          <w:rFonts w:ascii="Arial" w:hAnsi="Arial"/>
          <w:sz w:val="24"/>
        </w:rPr>
        <w:t>subpt</w:t>
      </w:r>
      <w:proofErr w:type="spellEnd"/>
      <w:r>
        <w:rPr>
          <w:rFonts w:ascii="Arial" w:hAnsi="Arial"/>
          <w:sz w:val="24"/>
        </w:rPr>
        <w:t xml:space="preserve">. D); </w:t>
      </w:r>
      <w:hyperlink r:id="rId12" w:history="1">
        <w:r>
          <w:rPr>
            <w:rStyle w:val="Hyperlink"/>
            <w:rFonts w:ascii="Arial" w:hAnsi="Arial"/>
            <w:sz w:val="24"/>
          </w:rPr>
          <w:t>G.S. 115C-204</w:t>
        </w:r>
      </w:hyperlink>
      <w:r>
        <w:rPr>
          <w:rFonts w:ascii="Arial" w:hAnsi="Arial"/>
          <w:sz w:val="24"/>
        </w:rPr>
        <w:t xml:space="preserve">, </w:t>
      </w:r>
      <w:hyperlink r:id="rId13" w:history="1">
        <w:r>
          <w:rPr>
            <w:rStyle w:val="Hyperlink"/>
            <w:rFonts w:ascii="Arial" w:hAnsi="Arial"/>
            <w:sz w:val="24"/>
          </w:rPr>
          <w:t>-521</w:t>
        </w:r>
      </w:hyperlink>
      <w:r>
        <w:rPr>
          <w:rFonts w:ascii="Arial" w:hAnsi="Arial"/>
          <w:sz w:val="24"/>
        </w:rPr>
        <w:t xml:space="preserve">; </w:t>
      </w:r>
      <w:hyperlink r:id="rId14" w:history="1">
        <w:r>
          <w:rPr>
            <w:rStyle w:val="Hyperlink"/>
            <w:rFonts w:ascii="Arial" w:hAnsi="Arial"/>
            <w:sz w:val="24"/>
          </w:rPr>
          <w:t>133, arts. 1</w:t>
        </w:r>
      </w:hyperlink>
      <w:r>
        <w:rPr>
          <w:rFonts w:ascii="Arial" w:hAnsi="Arial"/>
          <w:sz w:val="24"/>
        </w:rPr>
        <w:t xml:space="preserve"> and </w:t>
      </w:r>
      <w:hyperlink r:id="rId15" w:history="1">
        <w:r>
          <w:rPr>
            <w:rStyle w:val="Hyperlink"/>
            <w:rFonts w:ascii="Arial" w:hAnsi="Arial"/>
            <w:sz w:val="24"/>
          </w:rPr>
          <w:t>3</w:t>
        </w:r>
      </w:hyperlink>
      <w:r>
        <w:rPr>
          <w:rFonts w:ascii="Arial" w:hAnsi="Arial"/>
          <w:sz w:val="24"/>
        </w:rPr>
        <w:t xml:space="preserve">; State Board of Education Policies </w:t>
      </w:r>
      <w:hyperlink r:id="rId16" w:history="1">
        <w:r w:rsidRPr="00715E35">
          <w:rPr>
            <w:rStyle w:val="Hyperlink"/>
            <w:rFonts w:ascii="Arial" w:hAnsi="Arial"/>
            <w:strike/>
            <w:sz w:val="24"/>
          </w:rPr>
          <w:t>TCS-P-003</w:t>
        </w:r>
      </w:hyperlink>
      <w:r>
        <w:rPr>
          <w:rFonts w:ascii="Arial" w:hAnsi="Arial"/>
          <w:sz w:val="24"/>
        </w:rPr>
        <w:t xml:space="preserve"> </w:t>
      </w:r>
      <w:r>
        <w:rPr>
          <w:rFonts w:ascii="Arial" w:hAnsi="Arial"/>
          <w:sz w:val="24"/>
          <w:u w:val="double"/>
        </w:rPr>
        <w:t>SCFC-003, SCFC-005, SCFC-006</w:t>
      </w:r>
      <w:r>
        <w:rPr>
          <w:rFonts w:ascii="Arial" w:hAnsi="Arial"/>
          <w:sz w:val="24"/>
        </w:rPr>
        <w:t xml:space="preserve">; North Carolina Public School Facilities Guidelines, and </w:t>
      </w:r>
      <w:hyperlink r:id="rId17" w:history="1">
        <w:r>
          <w:rPr>
            <w:rStyle w:val="Hyperlink"/>
            <w:rFonts w:ascii="Arial" w:hAnsi="Arial"/>
            <w:sz w:val="24"/>
          </w:rPr>
          <w:t>TCS-P-006</w:t>
        </w:r>
      </w:hyperlink>
      <w:r>
        <w:rPr>
          <w:rFonts w:ascii="Arial" w:hAnsi="Arial"/>
          <w:sz w:val="24"/>
        </w:rPr>
        <w:t xml:space="preserve">, Procedures Manual: Public School Building Capital Fund, both available at </w:t>
      </w:r>
      <w:hyperlink r:id="rId18" w:history="1">
        <w:r>
          <w:rPr>
            <w:rStyle w:val="Hyperlink"/>
            <w:rFonts w:ascii="Arial" w:hAnsi="Arial"/>
            <w:sz w:val="24"/>
          </w:rPr>
          <w:t>www.schoolclearinghouse.org/</w:t>
        </w:r>
      </w:hyperlink>
    </w:p>
    <w:p w:rsidR="00391C0E" w:rsidRDefault="00715E35">
      <w:pPr>
        <w:spacing w:before="119" w:after="119"/>
      </w:pPr>
      <w:r>
        <w:rPr>
          <w:rFonts w:ascii="Arial" w:hAnsi="Arial"/>
          <w:sz w:val="24"/>
        </w:rPr>
        <w:t>ADOPTED: February 7, 2005</w:t>
      </w:r>
    </w:p>
    <w:p w:rsidR="00391C0E" w:rsidRDefault="00715E35">
      <w:pPr>
        <w:spacing w:before="119" w:after="300"/>
      </w:pPr>
      <w:r>
        <w:rPr>
          <w:rFonts w:ascii="Arial" w:hAnsi="Arial"/>
          <w:sz w:val="24"/>
        </w:rPr>
        <w:t>AMENDED: January 5, 2015</w:t>
      </w:r>
    </w:p>
    <w:p w:rsidR="00391C0E" w:rsidRDefault="00715E35">
      <w:pPr>
        <w:spacing w:before="750"/>
        <w:jc w:val="center"/>
      </w:pPr>
      <w:r>
        <w:rPr>
          <w:rFonts w:ascii="Arial" w:hAnsi="Arial"/>
          <w:b/>
          <w:color w:val="800000"/>
          <w:sz w:val="24"/>
        </w:rPr>
        <w:lastRenderedPageBreak/>
        <w:t>Edenton-Chowan Schools</w:t>
      </w:r>
    </w:p>
    <w:sectPr w:rsidR="0039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0E"/>
    <w:rsid w:val="00391C0E"/>
    <w:rsid w:val="00715E35"/>
    <w:rsid w:val="00AD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75EC9-AD87-44FC-82BA-4931A7E5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loc=US&amp;cat=usc&amp;id=29-794" TargetMode="External"/><Relationship Id="rId13" Type="http://schemas.openxmlformats.org/officeDocument/2006/relationships/hyperlink" Target="http://redirector.microscribepub.com/?cat=stat&amp;loc=nc&amp;id=115c&amp;spec=521" TargetMode="External"/><Relationship Id="rId18" Type="http://schemas.openxmlformats.org/officeDocument/2006/relationships/hyperlink" Target="http://www.schoolclearinghouse.org/"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521" TargetMode="External"/><Relationship Id="rId12" Type="http://schemas.openxmlformats.org/officeDocument/2006/relationships/hyperlink" Target="http://redirector.microscribepub.com/?cat=stat&amp;loc=nc&amp;id=115c&amp;spec=204" TargetMode="External"/><Relationship Id="rId17" Type="http://schemas.openxmlformats.org/officeDocument/2006/relationships/hyperlink" Target="http://redirector.microscribepub.com/?cat=pol&amp;loc=nc&amp;id=scfc-006&amp;" TargetMode="External"/><Relationship Id="rId2" Type="http://schemas.openxmlformats.org/officeDocument/2006/relationships/settings" Target="settings.xml"/><Relationship Id="rId16" Type="http://schemas.openxmlformats.org/officeDocument/2006/relationships/hyperlink" Target="http://redirector.microscribepub.com/?cat=pol&amp;loc=nc&amp;id=scfc-003&am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115c&amp;spec=521" TargetMode="External"/><Relationship Id="rId11" Type="http://schemas.openxmlformats.org/officeDocument/2006/relationships/hyperlink" Target="http://redirector.microscribepub.com/?cat=cfr&amp;loc=us&amp;id=28&amp;spec=35" TargetMode="External"/><Relationship Id="rId5" Type="http://schemas.openxmlformats.org/officeDocument/2006/relationships/hyperlink" Target="http://redirector.microscribepub.com/?cat=stat&amp;loc=nc&amp;id=115c&amp;spec=521" TargetMode="External"/><Relationship Id="rId15" Type="http://schemas.openxmlformats.org/officeDocument/2006/relationships/hyperlink" Target="http://redirector.microscribepub.com/?cat=stat&amp;loc=nc&amp;id=133&amp;spec=a3" TargetMode="External"/><Relationship Id="rId10" Type="http://schemas.openxmlformats.org/officeDocument/2006/relationships/hyperlink" Target="http://redirector.microscribepub.com/?loc=US&amp;cat=usc&amp;id=42-12101" TargetMode="External"/><Relationship Id="rId19" Type="http://schemas.openxmlformats.org/officeDocument/2006/relationships/fontTable" Target="fontTable.xml"/><Relationship Id="rId4" Type="http://schemas.openxmlformats.org/officeDocument/2006/relationships/hyperlink" Target="http://redirector.microscribepub.com/?cat=stat&amp;loc=nc&amp;id=115c&amp;spec=521" TargetMode="External"/><Relationship Id="rId9" Type="http://schemas.openxmlformats.org/officeDocument/2006/relationships/hyperlink" Target="http://redirector.microscribepub.com/?cat=cfr&amp;loc=us&amp;id=34&amp;spec=104" TargetMode="External"/><Relationship Id="rId14" Type="http://schemas.openxmlformats.org/officeDocument/2006/relationships/hyperlink" Target="http://redirector.microscribepub.com/?cat=stat&amp;loc=nc&amp;id=133&amp;spec=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2017-07-28T14:50:00Z</dcterms:created>
  <dcterms:modified xsi:type="dcterms:W3CDTF">2017-07-28T14:50:00Z</dcterms:modified>
</cp:coreProperties>
</file>